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dpis1"/>
        <w:spacing w:before="360" w:after="80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3. kolo přijímacího řízení – školní rok 2026/2027 – obory zakončené výučním listem</w:t>
      </w:r>
    </w:p>
    <w:p>
      <w:pPr>
        <w:pStyle w:val="Nadpis1"/>
        <w:jc w:val="both"/>
        <w:rPr>
          <w:b/>
          <w:b/>
          <w:bCs/>
          <w:color w:val="000000" w:themeColor="text1"/>
          <w:sz w:val="24"/>
          <w:szCs w:val="24"/>
          <w:lang w:val="cs-CZ"/>
        </w:rPr>
      </w:pPr>
      <w:r>
        <w:rPr>
          <w:color w:val="000000" w:themeColor="text1"/>
          <w:sz w:val="24"/>
          <w:szCs w:val="24"/>
          <w:lang w:val="cs-CZ"/>
        </w:rPr>
        <w:t>V souladu s ustanovením § 59 a § 60 zákona č. 561/2004 Sb., o předškolním, základním, středním, vyšším odborném a jiném vzdělávání (školský zákon), v platném znění, a vyhláškou č. 422/2023 Sb., vyhlašuje ředitelka SOŠ a SOU technického, Třemošnice 3. kolo přijímacího řízení pro níže uvedené obory vzdělání s výučním listem.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</w:pPr>
      <w:r>
        <w:rPr>
          <w:rFonts w:eastAsia="" w:cs="" w:ascii="Calibri Light" w:hAnsi="Calibri Light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  <w:t xml:space="preserve">Ve třetím a dalším kole přijímacího řízení může podat přihlášku uchazeč, který </w:t>
      </w:r>
    </w:p>
    <w:p>
      <w:pPr>
        <w:pStyle w:val="ListParagraph"/>
        <w:numPr>
          <w:ilvl w:val="0"/>
          <w:numId w:val="5"/>
        </w:numPr>
        <w:rPr>
          <w:rFonts w:ascii="Calibri Light" w:hAnsi="Calibri Light" w:eastAsia="" w:cs="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</w:pPr>
      <w:r>
        <w:rPr>
          <w:rFonts w:eastAsia="" w:cs="" w:ascii="Calibri Light" w:hAnsi="Calibri Light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  <w:t>nebyl přijat do žádného oboru středního vzdělání v přijímacím řízení pro daný školní rok, nebo</w:t>
      </w:r>
    </w:p>
    <w:p>
      <w:pPr>
        <w:pStyle w:val="ListParagraph"/>
        <w:numPr>
          <w:ilvl w:val="0"/>
          <w:numId w:val="5"/>
        </w:numPr>
        <w:rPr>
          <w:rFonts w:ascii="Calibri Light" w:hAnsi="Calibri Light" w:eastAsia="" w:cs="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</w:pPr>
      <w:r>
        <w:rPr>
          <w:rFonts w:eastAsia="" w:cs="" w:ascii="Calibri Light" w:hAnsi="Calibri Light" w:asciiTheme="majorHAnsi" w:cstheme="majorBidi" w:eastAsiaTheme="majorEastAsia" w:hAnsiTheme="majorHAnsi"/>
          <w:color w:val="000000" w:themeColor="text1"/>
          <w:sz w:val="24"/>
          <w:szCs w:val="24"/>
          <w:lang w:val="cs-CZ"/>
        </w:rPr>
        <w:t>se vzdal práva na přijetí do oboru středního vzdělání v přijímacím řízení pro daný školní rok v termínu stanoveném prováděcím právním předpisem.</w:t>
      </w:r>
    </w:p>
    <w:p>
      <w:pPr>
        <w:pStyle w:val="Nadpis1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Obory vzdělání zakončené výučním listem, podmínky přijetí a počet volných míst </w:t>
      </w:r>
    </w:p>
    <w:tbl>
      <w:tblPr>
        <w:tblW w:w="863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475"/>
        <w:gridCol w:w="2257"/>
        <w:gridCol w:w="3689"/>
        <w:gridCol w:w="67"/>
        <w:gridCol w:w="65"/>
        <w:gridCol w:w="81"/>
      </w:tblGrid>
      <w:tr>
        <w:trPr>
          <w:tblHeader w:val="true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sz w:val="28"/>
                <w:szCs w:val="28"/>
                <w:lang w:eastAsia="cs-CZ"/>
              </w:rPr>
              <w:t>Název a kód oboru - RVP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sz w:val="28"/>
                <w:szCs w:val="28"/>
                <w:lang w:eastAsia="cs-CZ"/>
              </w:rPr>
              <w:t>Školní vzdělávací program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sz w:val="28"/>
                <w:szCs w:val="28"/>
                <w:lang w:eastAsia="cs-CZ"/>
              </w:rPr>
              <w:t>Počet žáků přijímaných do 1. ročníku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  <w:tr>
        <w:trPr/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>23-52-H/01 Nástrojař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28"/>
                <w:szCs w:val="28"/>
                <w:lang w:eastAsia="cs-CZ"/>
              </w:rPr>
              <w:t>Nástrojař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sz w:val="28"/>
                <w:szCs w:val="28"/>
                <w:lang w:eastAsia="cs-CZ"/>
              </w:rPr>
              <w:t>5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  <w:tr>
        <w:trPr/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>23-56-H/01 Obráběč kovů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28"/>
                <w:szCs w:val="28"/>
                <w:lang w:eastAsia="cs-CZ"/>
              </w:rPr>
              <w:t>Obráběč kovů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sz w:val="28"/>
                <w:szCs w:val="28"/>
                <w:lang w:eastAsia="cs-CZ"/>
              </w:rPr>
              <w:t>4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  <w:tr>
        <w:trPr/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 xml:space="preserve">23-51-H/01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>Strojní mechanik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28"/>
                <w:szCs w:val="28"/>
                <w:lang w:eastAsia="cs-CZ"/>
              </w:rPr>
              <w:t>Zámečník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sz w:val="28"/>
                <w:szCs w:val="28"/>
                <w:lang w:eastAsia="cs-CZ"/>
              </w:rPr>
              <w:t>5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  <w:tr>
        <w:trPr/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>23-55-H/01 Klempíř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28"/>
                <w:szCs w:val="28"/>
                <w:lang w:eastAsia="cs-CZ"/>
              </w:rPr>
              <w:t>Klempíř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sz w:val="28"/>
                <w:szCs w:val="28"/>
                <w:lang w:eastAsia="cs-CZ"/>
              </w:rPr>
              <w:t>3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  <w:tr>
        <w:trPr/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 xml:space="preserve">33-56-H/01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sz w:val="28"/>
                <w:szCs w:val="28"/>
                <w:lang w:eastAsia="cs-CZ"/>
              </w:rPr>
              <w:t>Truhlář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28"/>
                <w:szCs w:val="28"/>
                <w:lang w:eastAsia="cs-CZ"/>
              </w:rPr>
              <w:t>Truhlář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ptos Narrow" w:hAnsi="Aptos Narrow" w:eastAsia="Times New Roman" w:cs="Times New Roman"/>
                <w:sz w:val="28"/>
                <w:szCs w:val="28"/>
                <w:lang w:eastAsia="cs-CZ"/>
              </w:rPr>
            </w:pPr>
            <w:r>
              <w:rPr>
                <w:rFonts w:eastAsia="Times New Roman" w:cs="Times New Roman" w:ascii="Aptos Narrow" w:hAnsi="Aptos Narrow"/>
                <w:sz w:val="28"/>
                <w:szCs w:val="28"/>
                <w:lang w:eastAsia="cs-CZ"/>
              </w:rPr>
              <w:t>7</w:t>
            </w:r>
          </w:p>
        </w:tc>
        <w:tc>
          <w:tcPr>
            <w:tcW w:w="67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65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  <w:tc>
          <w:tcPr>
            <w:tcW w:w="81" w:type="dxa"/>
            <w:tcBorders/>
            <w:vAlign w:val="center"/>
          </w:tcPr>
          <w:p>
            <w:pPr>
              <w:pStyle w:val="Nadpis1"/>
              <w:widowControl w:val="false"/>
              <w:spacing w:before="360" w:after="80"/>
              <w:rPr>
                <w:b/>
                <w:b/>
                <w:bCs/>
                <w:color w:val="000000" w:themeColor="text1"/>
                <w:sz w:val="28"/>
                <w:szCs w:val="28"/>
                <w:lang w:val="cs-CZ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cs-CZ"/>
              </w:rPr>
            </w:r>
          </w:p>
        </w:tc>
      </w:tr>
    </w:tbl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color w:val="2F5496" w:themeColor="accent1" w:themeShade="bf"/>
          <w:sz w:val="28"/>
          <w:szCs w:val="28"/>
          <w:lang w:val="cs-CZ"/>
        </w:rPr>
      </w:pPr>
      <w:r>
        <w:rPr>
          <w:rFonts w:eastAsia="" w:cs="" w:cstheme="majorBidi" w:eastAsiaTheme="majorEastAsia" w:ascii="Calibri Light" w:hAnsi="Calibri Light"/>
          <w:color w:val="2F5496" w:themeColor="accent1" w:themeShade="bf"/>
          <w:sz w:val="28"/>
          <w:szCs w:val="28"/>
          <w:lang w:val="cs-CZ"/>
        </w:rPr>
      </w:r>
      <w:r>
        <w:br w:type="page"/>
      </w:r>
    </w:p>
    <w:p>
      <w:pPr>
        <w:pStyle w:val="Nadpis1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Podmínky přijetí:</w:t>
      </w:r>
    </w:p>
    <w:p>
      <w:pPr>
        <w:pStyle w:val="Nadpis1"/>
        <w:numPr>
          <w:ilvl w:val="0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Ukončení povinné školní docházky (ukončené základní vzdělání).</w:t>
      </w:r>
    </w:p>
    <w:p>
      <w:pPr>
        <w:pStyle w:val="Nadpis1"/>
        <w:numPr>
          <w:ilvl w:val="0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Podání přihlášky do 3. kola v termínu od 30. 6. do 7. 8. 2026.</w:t>
      </w:r>
    </w:p>
    <w:p>
      <w:pPr>
        <w:pStyle w:val="Nadpis1"/>
        <w:numPr>
          <w:ilvl w:val="0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Nepřijímá se formou přijímacích zkoušek, rozhodující je výhradně hodnocení ze ZŠ a účast v soutěžích.</w:t>
      </w:r>
    </w:p>
    <w:p>
      <w:pPr>
        <w:pStyle w:val="Nadpis1"/>
        <w:numPr>
          <w:ilvl w:val="0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Hodnocení prospěchu:</w:t>
      </w:r>
    </w:p>
    <w:p>
      <w:pPr>
        <w:pStyle w:val="Nadpis1"/>
        <w:numPr>
          <w:ilvl w:val="1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Průměrný prospěch bude vypočítán ze všech povinných vyučovacích předmětů ve 2. pololetí 8. ročníku a 1. pololetí 9. ročníku, ve kterých je žák klasifikován známkou s výjimkou chování; u předmětů v nějakém z období neklasifikovaných, se bude započítávat známka z daného předmětu z jiného (předchozího) období / vysvědčení dodaného spolu s přihláškou.</w:t>
      </w:r>
    </w:p>
    <w:p>
      <w:pPr>
        <w:pStyle w:val="Normal"/>
        <w:ind w:firstLine="720"/>
        <w:rPr>
          <w:sz w:val="28"/>
          <w:szCs w:val="28"/>
          <w:lang w:val="cs-CZ"/>
        </w:rPr>
      </w:pPr>
      <w:r>
        <w:rPr/>
        <w:drawing>
          <wp:inline distT="0" distB="0" distL="0" distR="0">
            <wp:extent cx="3382010" cy="3362960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010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adpis1"/>
        <w:numPr>
          <w:ilvl w:val="1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Max. 52 bodů dle stejného bodového rozpisu jako ve 2. kole.</w:t>
      </w:r>
    </w:p>
    <w:p>
      <w:pPr>
        <w:pStyle w:val="Nadpis1"/>
        <w:numPr>
          <w:ilvl w:val="1"/>
          <w:numId w:val="1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 xml:space="preserve">Účast v krajských a okresních soutěžích: </w:t>
      </w:r>
    </w:p>
    <w:p>
      <w:pPr>
        <w:pStyle w:val="Nadpis1"/>
        <w:ind w:left="1334" w:hanging="0"/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 xml:space="preserve">Krajské soutěže 4 body, </w:t>
      </w:r>
    </w:p>
    <w:p>
      <w:pPr>
        <w:pStyle w:val="Nadpis1"/>
        <w:ind w:left="1334" w:hanging="0"/>
        <w:jc w:val="both"/>
        <w:rPr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Okresní soutěže 2 body (nesčítají se různé soutěže). Součástí hodnocení je pouze účast ve vyšší úrovni soutěže (ČJL, MAT, FYZ, CHE, ZEM, DEJ, technické dovednosti, cizí jazyk + jazykové certifikáty PET, KET a vyšší). Do hodnocení se nezapočítává účast ve sportovních soutěžích. Maximální počet bodů je 56 (až 52 bodů za hodnocení ze ZŠ + až 4 body za účast v soutěžích).</w:t>
      </w:r>
    </w:p>
    <w:p>
      <w:pPr>
        <w:pStyle w:val="Normal"/>
        <w:rPr>
          <w:lang w:val="cs-CZ"/>
        </w:rPr>
      </w:pPr>
      <w:r>
        <w:rPr>
          <w:lang w:val="cs-CZ"/>
        </w:rPr>
      </w:r>
    </w:p>
    <w:p>
      <w:pPr>
        <w:pStyle w:val="Normal"/>
        <w:jc w:val="both"/>
        <w:rPr>
          <w:rFonts w:ascii="Calibri Light" w:hAnsi="Calibri Light" w:eastAsia="" w:cs="" w:asciiTheme="majorHAnsi" w:cstheme="majorBidi" w:eastAsiaTheme="majorEastAsia" w:hAnsiTheme="majorHAnsi"/>
          <w:b/>
          <w:b/>
          <w:bCs/>
          <w:color w:val="2F5496" w:themeColor="accent1" w:themeShade="bf"/>
          <w:sz w:val="28"/>
          <w:szCs w:val="28"/>
          <w:lang w:val="cs-CZ"/>
        </w:rPr>
      </w:pPr>
      <w:r>
        <w:rPr>
          <w:rFonts w:eastAsia="" w:cs="" w:ascii="Calibri Light" w:hAnsi="Calibri Light" w:asciiTheme="majorHAnsi" w:cstheme="majorBidi" w:eastAsiaTheme="majorEastAsia" w:hAnsiTheme="majorHAnsi"/>
          <w:b/>
          <w:bCs/>
          <w:color w:val="2F5496" w:themeColor="accent1" w:themeShade="bf"/>
          <w:sz w:val="28"/>
          <w:szCs w:val="28"/>
          <w:lang w:val="cs-CZ"/>
        </w:rPr>
        <w:t>Kritéria pro stanovení pořadí při rovnosti bodů: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Vyšší počet bodů za průměrný prospěch ze ZŠ.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Vyšší počet bodů za průměr za 1. pololetí 9. ročníku.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Lepší známka z matematiky (1. pol. 9. roč.).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Lepší známka z matematiky (2. pol. 8. roč.).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Lepší známka z fyziky (2. pol. 8. roč.).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Lepší známka z anglického jazyka (1. pol. 9. roč.).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Lepší známka z anglického jazyka (2. pol. 8. roč.).</w:t>
      </w:r>
    </w:p>
    <w:p>
      <w:pPr>
        <w:pStyle w:val="Nadpis1"/>
        <w:numPr>
          <w:ilvl w:val="0"/>
          <w:numId w:val="2"/>
        </w:numPr>
        <w:jc w:val="both"/>
        <w:rPr>
          <w:b/>
          <w:b/>
          <w:bCs/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  <w:t>Los.</w:t>
      </w:r>
    </w:p>
    <w:p>
      <w:pPr>
        <w:pStyle w:val="Normal"/>
        <w:jc w:val="both"/>
        <w:rPr>
          <w:color w:val="000000" w:themeColor="text1"/>
          <w:sz w:val="28"/>
          <w:szCs w:val="28"/>
          <w:lang w:val="cs-CZ"/>
        </w:rPr>
      </w:pPr>
      <w:r>
        <w:rPr>
          <w:color w:val="000000" w:themeColor="text1"/>
          <w:sz w:val="28"/>
          <w:szCs w:val="28"/>
          <w:lang w:val="cs-CZ"/>
        </w:rPr>
      </w:r>
    </w:p>
    <w:p>
      <w:pPr>
        <w:pStyle w:val="Nadpis1"/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Uzpůsobení podmínek, cizinci, žáci studující mimo ČR</w:t>
      </w:r>
    </w:p>
    <w:p>
      <w:pPr>
        <w:pStyle w:val="Normal"/>
        <w:jc w:val="both"/>
        <w:rPr>
          <w:rFonts w:ascii="Calibri Light" w:hAnsi="Calibri Light" w:eastAsia="" w:cs="" w:asciiTheme="majorHAnsi" w:cstheme="majorBidi" w:eastAsiaTheme="majorEastAsia" w:hAnsiTheme="majorHAnsi"/>
          <w:color w:val="2F5496" w:themeColor="accent1" w:themeShade="bf"/>
          <w:sz w:val="32"/>
          <w:szCs w:val="32"/>
        </w:rPr>
      </w:pPr>
      <w:r>
        <w:rPr>
          <w:rFonts w:eastAsia="" w:cs="" w:ascii="Calibri Light" w:hAnsi="Calibri Light" w:asciiTheme="majorHAnsi" w:cstheme="majorBidi" w:eastAsiaTheme="majorEastAsia" w:hAnsiTheme="majorHAnsi"/>
          <w:color w:val="000000" w:themeColor="text1"/>
          <w:sz w:val="28"/>
          <w:szCs w:val="28"/>
          <w:lang w:val="cs-CZ"/>
        </w:rPr>
        <w:t>Hodlá-li uchazeč jako přílohu přihlášky použít vysvědčení vydané zahraniční školou, je nutné doložit spolu s přihláškou osvědčení jeho platnosti na území ČR.</w:t>
      </w:r>
    </w:p>
    <w:p>
      <w:pPr>
        <w:pStyle w:val="Normal"/>
        <w:spacing w:lineRule="auto" w:line="259" w:before="0" w:after="160"/>
        <w:rPr>
          <w:rFonts w:ascii="Calibri Light" w:hAnsi="Calibri Light" w:eastAsia="" w:cs="" w:asciiTheme="majorHAnsi" w:cstheme="majorBidi" w:eastAsiaTheme="majorEastAsia" w:hAnsiTheme="majorHAnsi"/>
          <w:color w:val="2F5496" w:themeColor="accent1" w:themeShade="bf"/>
          <w:sz w:val="32"/>
          <w:szCs w:val="32"/>
        </w:rPr>
      </w:pPr>
      <w:r>
        <w:rPr>
          <w:rFonts w:eastAsia="" w:cs="" w:cstheme="majorBidi" w:eastAsiaTheme="majorEastAsia" w:ascii="Calibri Light" w:hAnsi="Calibri Light"/>
          <w:color w:val="2F5496" w:themeColor="accent1" w:themeShade="bf"/>
          <w:sz w:val="32"/>
          <w:szCs w:val="32"/>
        </w:rPr>
      </w:r>
      <w:r>
        <w:br w:type="page"/>
      </w:r>
    </w:p>
    <w:p>
      <w:pPr>
        <w:pStyle w:val="Nadpis2"/>
        <w:rPr/>
      </w:pPr>
      <w:r>
        <w:rPr/>
        <w:t>Zdravotní omezení</w:t>
      </w:r>
    </w:p>
    <w:p>
      <w:pPr>
        <w:pStyle w:val="Normal"/>
        <w:shd w:val="clear" w:color="auto" w:fill="FFFFFF"/>
        <w:spacing w:lineRule="auto" w:line="240" w:before="100" w:after="100"/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  <w:t>Pro jednotlivé obory vzdělání jsou pro uchazeče platná následující zdravotní omezení podle NV č. 211/2010 Sb.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201"/>
        <w:gridCol w:w="6438"/>
      </w:tblGrid>
      <w:tr>
        <w:trPr>
          <w:trHeight w:val="315" w:hRule="atLeast"/>
        </w:trPr>
        <w:tc>
          <w:tcPr>
            <w:tcW w:w="2201" w:type="dxa"/>
            <w:tcBorders>
              <w:top w:val="single" w:sz="8" w:space="0" w:color="009FE3"/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Obor vzdělání</w:t>
            </w:r>
          </w:p>
        </w:tc>
        <w:tc>
          <w:tcPr>
            <w:tcW w:w="6438" w:type="dxa"/>
            <w:tcBorders>
              <w:top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Onemocnění či zdravotní obtíže, znemožňující vzděláváni v daném oboru</w:t>
            </w:r>
          </w:p>
        </w:tc>
      </w:tr>
      <w:tr>
        <w:trPr>
          <w:trHeight w:val="615" w:hRule="atLeast"/>
        </w:trPr>
        <w:tc>
          <w:tcPr>
            <w:tcW w:w="2201" w:type="dxa"/>
            <w:vMerge w:val="restart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23-52-H/01 Nástrojař</w:t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podpůrného a pohybového aparátu znemožňující zátěž páteře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horních končetin znemožňující jemnou motoriku a koordinaci pohybů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cév a nervů horních končetin, vylučující činnosti v riziku vibrací</w:t>
            </w:r>
          </w:p>
        </w:tc>
      </w:tr>
      <w:tr>
        <w:trPr>
          <w:trHeight w:val="870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chronická onemocnění kůže a spojivek včetně onemocnění alergických, pokud při praktickém vyučování nelze vyloučit silné znečistění kůže nebo kontakt s alergizujícími látkami</w:t>
            </w:r>
          </w:p>
        </w:tc>
      </w:tr>
      <w:tr>
        <w:trPr>
          <w:trHeight w:val="115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a nekompenzované formy epilepsie a epileptických syndromů a kolapsové stavy, týká se činností ve výškách, s motorovou mechanizací, s rotujícími stroji, nářadím nebo zařízením nebo činností, při kterých nelze vyloučit ohrožení zdraví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restart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23-56-H/01 Obráběč kovů</w:t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podpůrného a pohybového aparátu znemožňující zátěž páteře</w:t>
            </w:r>
          </w:p>
        </w:tc>
      </w:tr>
      <w:tr>
        <w:trPr>
          <w:trHeight w:val="61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horních končetin znemožňující jemnou motoriku a koordinaci pohybů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cév a nervů horních končetin, vylučující činnosti v riziku vibrací</w:t>
            </w:r>
          </w:p>
        </w:tc>
      </w:tr>
      <w:tr>
        <w:trPr>
          <w:trHeight w:val="870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chronická onemocnění kůže a spojivek včetně onemocnění alergických, pokud při praktickém vyučování nelze vyloučit silné znečistění kůže nebo kontakt s alergizujícími látkami</w:t>
            </w:r>
          </w:p>
        </w:tc>
      </w:tr>
      <w:tr>
        <w:trPr>
          <w:trHeight w:val="31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Přecitlivělost na alergizující látky používané při praktickém vyučování</w:t>
            </w:r>
          </w:p>
        </w:tc>
      </w:tr>
      <w:tr>
        <w:trPr>
          <w:trHeight w:val="115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a nekompenzované formy epilepsie a epileptických syndromů a kolapsové stavy, týká se činností ve výškách, s motorovou mechanizací, s rotujícími stroji, nářadím nebo zařízením nebo činností, při kterých nelze vyloučit ohrožení zdraví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restart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23-51-H/01 Strojní mechanik</w:t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podpůrného a pohybového aparátu znemožňující zátěž páteře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horních končetin znemožňující jemnou motoriku a koordinaci pohybů</w:t>
            </w:r>
          </w:p>
        </w:tc>
      </w:tr>
      <w:tr>
        <w:trPr>
          <w:trHeight w:val="870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chronická onemocnění kůže a spojivek včetně onemocnění alergických, pokud při praktickém vyučování nelze vyloučit silné znečistění kůže nebo kontakt s alergizujícími látkami</w:t>
            </w:r>
          </w:p>
        </w:tc>
      </w:tr>
      <w:tr>
        <w:trPr>
          <w:trHeight w:val="115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a nekompenzované formy epilepsie a epileptických syndromů a kolapsové stavy, týká se činností ve výškách, s motorovou mechanizací, s rotujícími stroji, nářadím nebo zařízením nebo činností, při kterých nelze vyloučit ohrožení zdraví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restart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23-55-H/01 Klempíř</w:t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podpůrného a pohybového aparátu znemožňující zátěž páteře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horních končetin znemožňující jemnou motoriku a koordinaci pohybů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cév a nervů horních končetin, vylučující činnosti v riziku vibrací</w:t>
            </w:r>
          </w:p>
        </w:tc>
      </w:tr>
      <w:tr>
        <w:trPr>
          <w:trHeight w:val="870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chronická onemocnění kůže a spojivek včetně onemocnění alergických, pokud při praktickém vyučování nelze vyloučit silné znečistění kůže nebo kontakt s alergizujícími látkami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nemoci srdce a oběhové soustavy vylučující středně velkou zátěž</w:t>
            </w:r>
          </w:p>
        </w:tc>
      </w:tr>
      <w:tr>
        <w:trPr>
          <w:trHeight w:val="115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a nekompenzované formy epilepsie a epileptických syndromů a kolapsové stavy, týká se činností ve výškách, s motorovou mechanizací, s rotujícími stroji, nářadím nebo zařízením nebo činností, při kterých nelze vyloučit ohrožení zdraví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 xml:space="preserve">Prognosticky závažné nemoci oka znemožňující zvýšenou fyzickou zátěž a manipulaci s břemeny 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restart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  <w:t>33-56-H/01 Truhlář</w:t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podpůrného a pohybového aparátu znemožňující zátěž páteře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 </w:t>
            </w: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horních končetin znemožňující jemnou motoriku a koordinaci pohybů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onemocnění cév a nervů horních končetin, vylučující činnosti v riziku vibrací</w:t>
            </w:r>
          </w:p>
        </w:tc>
      </w:tr>
      <w:tr>
        <w:trPr>
          <w:trHeight w:val="870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závažná chronická onemocnění dýchacích cest a plic včetně onemocnění alergických, pokud nelze při praktickém vyučování vyloučit dráždivé a alergizující látky, činnosti ve vysoce prašném prostředí</w:t>
            </w:r>
          </w:p>
        </w:tc>
      </w:tr>
      <w:tr>
        <w:trPr>
          <w:trHeight w:val="31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Přecitlivělost na alergizující látky používané při praktickém vyučování</w:t>
            </w:r>
          </w:p>
        </w:tc>
      </w:tr>
      <w:tr>
        <w:trPr>
          <w:trHeight w:val="115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 </w:t>
            </w: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a nekompenzované formy epilepsie a epileptických syndromů a kolapsové stavy, týká se činností ve výškách, s motorovou mechanizací, s rotujícími stroji, nářadím nebo zařízením nebo činností, při kterých nelze vyloučit ohrožení zdraví</w:t>
            </w:r>
          </w:p>
        </w:tc>
      </w:tr>
      <w:tr>
        <w:trPr>
          <w:trHeight w:val="31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Závažné poruchy sluchu v případě činností v riziku hluku</w:t>
            </w:r>
          </w:p>
        </w:tc>
      </w:tr>
      <w:tr>
        <w:trPr>
          <w:trHeight w:val="585" w:hRule="atLeast"/>
        </w:trPr>
        <w:tc>
          <w:tcPr>
            <w:tcW w:w="2201" w:type="dxa"/>
            <w:vMerge w:val="continue"/>
            <w:tcBorders>
              <w:left w:val="single" w:sz="8" w:space="0" w:color="009FE3"/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b/>
                <w:b/>
                <w:bCs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b/>
                <w:bCs/>
                <w:color w:val="000000"/>
                <w:lang w:eastAsia="cs-CZ"/>
              </w:rPr>
            </w:r>
          </w:p>
        </w:tc>
        <w:tc>
          <w:tcPr>
            <w:tcW w:w="6438" w:type="dxa"/>
            <w:tcBorders>
              <w:bottom w:val="single" w:sz="8" w:space="0" w:color="009FE3"/>
              <w:right w:val="single" w:sz="8" w:space="0" w:color="009FE3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/>
                <w:color w:val="000000"/>
                <w:lang w:eastAsia="cs-CZ"/>
              </w:rPr>
            </w:pPr>
            <w:r>
              <w:rPr>
                <w:rFonts w:eastAsia="Times New Roman" w:ascii="Arial" w:hAnsi="Arial"/>
                <w:color w:val="000000"/>
                <w:lang w:eastAsia="cs-CZ"/>
              </w:rPr>
              <w:t>Prognosticky závažné poruchy vidění, zorného pole nebo barvocitu v případě činností s vysokými nároky na zrak nebo činností vyžadujících prostorové vidění</w:t>
            </w:r>
          </w:p>
        </w:tc>
      </w:tr>
    </w:tbl>
    <w:p>
      <w:pPr>
        <w:pStyle w:val="Nadpis1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Termíny 3. kola, další podmínky a informace:</w:t>
      </w:r>
    </w:p>
    <w:p>
      <w:pPr>
        <w:pStyle w:val="Nadpis1"/>
        <w:numPr>
          <w:ilvl w:val="0"/>
          <w:numId w:val="4"/>
        </w:numPr>
        <w:rPr>
          <w:b/>
          <w:b/>
          <w:bCs/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Vyhlášení 3. kola: 30. 6. 2026.</w:t>
      </w:r>
    </w:p>
    <w:p>
      <w:pPr>
        <w:pStyle w:val="Nadpis1"/>
        <w:numPr>
          <w:ilvl w:val="0"/>
          <w:numId w:val="4"/>
        </w:numPr>
        <w:rPr>
          <w:b/>
          <w:b/>
          <w:bCs/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 xml:space="preserve">Podání přihlášky: 30. 6. – 7. 8. 2026 – přihláška bude </w:t>
      </w:r>
      <w:r>
        <w:rPr>
          <w:b/>
          <w:bCs/>
          <w:color w:val="auto"/>
          <w:sz w:val="24"/>
          <w:szCs w:val="24"/>
          <w:lang w:val="cs-CZ"/>
        </w:rPr>
        <w:t>podána pouze v papírové podobě. Povinnými přílohami přihlášky budou vysvědčení za 8. a 9. ročník ZŠ a lékařské potvrzení osvědčující zdravotní způsobilost uchazeče.</w:t>
      </w:r>
    </w:p>
    <w:p>
      <w:pPr>
        <w:pStyle w:val="Nadpis1"/>
        <w:numPr>
          <w:ilvl w:val="0"/>
          <w:numId w:val="3"/>
        </w:numPr>
        <w:jc w:val="both"/>
        <w:rPr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Ve 3. kole přijímacího řízení obdrží uchazeči/jejich zákonní zástupci písemně osobní registrační číslo pro přijímací řízení. Toto číslo si prosím pečlivě uschovejte.</w:t>
      </w:r>
    </w:p>
    <w:p>
      <w:pPr>
        <w:pStyle w:val="Nadpis1"/>
        <w:numPr>
          <w:ilvl w:val="0"/>
          <w:numId w:val="3"/>
        </w:numPr>
        <w:jc w:val="both"/>
        <w:rPr>
          <w:b/>
          <w:b/>
          <w:bCs/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Uchazeči se zdravotním omezením musí doložit lékařské potvrzení o způsobilosti pro zvolený obor (dle NV č. 211/2010 Sb.).</w:t>
      </w:r>
    </w:p>
    <w:p>
      <w:pPr>
        <w:pStyle w:val="Nadpis1"/>
        <w:numPr>
          <w:ilvl w:val="0"/>
          <w:numId w:val="4"/>
        </w:numPr>
        <w:rPr>
          <w:b/>
          <w:b/>
          <w:bCs/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Seznámení s podklady pro rozhodnutí: 12. – 14. 8. 2026 na sekretariátu školy.</w:t>
      </w:r>
    </w:p>
    <w:p>
      <w:pPr>
        <w:pStyle w:val="Nadpis1"/>
        <w:numPr>
          <w:ilvl w:val="0"/>
          <w:numId w:val="3"/>
        </w:numPr>
        <w:jc w:val="both"/>
        <w:rPr>
          <w:b/>
          <w:b/>
          <w:bCs/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Výsledky 3. kola budou zveřejněny na úřední desce školy a na webu školy 1</w:t>
      </w:r>
      <w:r>
        <w:rPr>
          <w:color w:val="auto"/>
          <w:sz w:val="24"/>
          <w:szCs w:val="24"/>
          <w:lang w:val="cs-CZ"/>
        </w:rPr>
        <w:t>8</w:t>
      </w:r>
      <w:r>
        <w:rPr>
          <w:color w:val="auto"/>
          <w:sz w:val="24"/>
          <w:szCs w:val="24"/>
          <w:lang w:val="cs-CZ"/>
        </w:rPr>
        <w:t>. 8. 2026 a následně budou rozhodnutí o přijetí/nepřijetí doručována písemně.</w:t>
      </w:r>
    </w:p>
    <w:p>
      <w:pPr>
        <w:pStyle w:val="Nadpis1"/>
        <w:numPr>
          <w:ilvl w:val="0"/>
          <w:numId w:val="3"/>
        </w:numPr>
        <w:jc w:val="both"/>
        <w:rPr>
          <w:color w:val="auto"/>
          <w:sz w:val="24"/>
          <w:szCs w:val="24"/>
          <w:lang w:val="cs-CZ"/>
        </w:rPr>
      </w:pPr>
      <w:r>
        <w:rPr>
          <w:color w:val="auto"/>
          <w:sz w:val="24"/>
          <w:szCs w:val="24"/>
          <w:lang w:val="cs-CZ"/>
        </w:rPr>
        <w:t>Odvolání lze podat pouze proti procesnímu postupu dle § 82 zákona č. 500/2004 Sb., správní řád, do 3 pracovních dnů od zveřejnění výsledků a to k rukám ředitelky SOŠ a SOU technického, Třemošnice.</w:t>
      </w:r>
    </w:p>
    <w:p>
      <w:pPr>
        <w:pStyle w:val="Nadpis1"/>
        <w:numPr>
          <w:ilvl w:val="0"/>
          <w:numId w:val="3"/>
        </w:numPr>
        <w:tabs>
          <w:tab w:val="clear" w:pos="708"/>
          <w:tab w:val="left" w:pos="502" w:leader="none"/>
        </w:tabs>
        <w:ind w:left="502" w:hanging="360"/>
        <w:jc w:val="both"/>
        <w:rPr>
          <w:b/>
          <w:b/>
          <w:bCs/>
          <w:sz w:val="24"/>
          <w:szCs w:val="24"/>
          <w:lang w:val="cs-CZ"/>
        </w:rPr>
      </w:pPr>
      <w:r>
        <w:rPr>
          <w:b/>
          <w:bCs/>
          <w:color w:val="auto"/>
          <w:sz w:val="24"/>
          <w:szCs w:val="24"/>
          <w:lang w:val="cs-CZ"/>
        </w:rPr>
        <w:t>Přijatý uchazeč do 3 dnů ode dne oznámení rozhodnutí je povinen potvrdit svůj úmysl vzdělávat se v daném oboru</w:t>
      </w:r>
      <w:r>
        <w:rPr>
          <w:color w:val="auto"/>
          <w:sz w:val="24"/>
          <w:szCs w:val="24"/>
          <w:lang w:val="cs-CZ"/>
        </w:rPr>
        <w:t xml:space="preserve"> středního vzdělání, nejde-li o postup podle § 60l odst. 2. </w:t>
      </w:r>
      <w:r>
        <w:rPr>
          <w:b/>
          <w:bCs/>
          <w:color w:val="auto"/>
          <w:sz w:val="24"/>
          <w:szCs w:val="24"/>
          <w:lang w:val="cs-CZ"/>
        </w:rPr>
        <w:t>Marným uplynutím lhůty zaniká právo na přijetí</w:t>
      </w:r>
      <w:r>
        <w:rPr>
          <w:color w:val="auto"/>
          <w:sz w:val="24"/>
          <w:szCs w:val="24"/>
          <w:lang w:val="cs-CZ"/>
        </w:rPr>
        <w:t xml:space="preserve"> do daného oboru středního vzdělání. Uchazeč může potvrdit svůj úmysl pouze v jednom oboru středního vzdělání; vzdáním se práva na přijetí do tohoto oboru středního vzdělání uchazeči vzniká možnost potvrdit svůj úmysl v jiném oboru středního vzdělání.</w:t>
      </w:r>
    </w:p>
    <w:p>
      <w:pPr>
        <w:pStyle w:val="Normal"/>
        <w:spacing w:lineRule="auto" w:line="259" w:before="0" w:after="160"/>
        <w:rPr>
          <w:sz w:val="20"/>
          <w:szCs w:val="20"/>
          <w:lang w:val="cs-CZ"/>
        </w:rPr>
      </w:pPr>
      <w:r>
        <w:rP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 Narrow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/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/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/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/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/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/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/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/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/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/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/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/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/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2fdb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Nadpis1">
    <w:name w:val="Heading 1"/>
    <w:basedOn w:val="Normal"/>
    <w:next w:val="Normal"/>
    <w:link w:val="Nadpis1Char"/>
    <w:uiPriority w:val="9"/>
    <w:qFormat/>
    <w:rsid w:val="00b42fd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dpis2">
    <w:name w:val="Heading 2"/>
    <w:basedOn w:val="Normal"/>
    <w:next w:val="Normal"/>
    <w:link w:val="Nadpis2Char"/>
    <w:uiPriority w:val="9"/>
    <w:semiHidden/>
    <w:unhideWhenUsed/>
    <w:qFormat/>
    <w:rsid w:val="00b42fd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dpis3">
    <w:name w:val="Heading 3"/>
    <w:basedOn w:val="Normal"/>
    <w:next w:val="Normal"/>
    <w:link w:val="Nadpis3Char"/>
    <w:uiPriority w:val="9"/>
    <w:semiHidden/>
    <w:unhideWhenUsed/>
    <w:qFormat/>
    <w:rsid w:val="00b42fd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dpis4">
    <w:name w:val="Heading 4"/>
    <w:basedOn w:val="Normal"/>
    <w:next w:val="Normal"/>
    <w:link w:val="Nadpis4Char"/>
    <w:uiPriority w:val="9"/>
    <w:semiHidden/>
    <w:unhideWhenUsed/>
    <w:qFormat/>
    <w:rsid w:val="00b42fd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b42fd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b42fd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b42fd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dpis8">
    <w:name w:val="Heading 8"/>
    <w:basedOn w:val="Normal"/>
    <w:next w:val="Normal"/>
    <w:link w:val="Nadpis8Char"/>
    <w:uiPriority w:val="9"/>
    <w:semiHidden/>
    <w:unhideWhenUsed/>
    <w:qFormat/>
    <w:rsid w:val="00b42fd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dpis9">
    <w:name w:val="Heading 9"/>
    <w:basedOn w:val="Normal"/>
    <w:next w:val="Normal"/>
    <w:link w:val="Nadpis9Char"/>
    <w:uiPriority w:val="9"/>
    <w:semiHidden/>
    <w:unhideWhenUsed/>
    <w:qFormat/>
    <w:rsid w:val="00b42fd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b42fd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b42fd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b42fdb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b42fdb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dpis5Char" w:customStyle="1">
    <w:name w:val="Nadpis 5 Char"/>
    <w:basedOn w:val="DefaultParagraphFont"/>
    <w:uiPriority w:val="9"/>
    <w:semiHidden/>
    <w:qFormat/>
    <w:rsid w:val="00b42fdb"/>
    <w:rPr>
      <w:rFonts w:eastAsia="" w:cs="" w:cstheme="majorBidi" w:eastAsiaTheme="majorEastAsia"/>
      <w:color w:val="2F5496" w:themeColor="accent1" w:themeShade="bf"/>
    </w:rPr>
  </w:style>
  <w:style w:type="character" w:styleId="Nadpis6Char" w:customStyle="1">
    <w:name w:val="Nadpis 6 Char"/>
    <w:basedOn w:val="DefaultParagraphFont"/>
    <w:uiPriority w:val="9"/>
    <w:semiHidden/>
    <w:qFormat/>
    <w:rsid w:val="00b42fdb"/>
    <w:rPr>
      <w:rFonts w:eastAsia="" w:cs="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uiPriority w:val="9"/>
    <w:semiHidden/>
    <w:qFormat/>
    <w:rsid w:val="00b42fdb"/>
    <w:rPr>
      <w:rFonts w:eastAsia="" w:cs="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uiPriority w:val="9"/>
    <w:semiHidden/>
    <w:qFormat/>
    <w:rsid w:val="00b42fdb"/>
    <w:rPr>
      <w:rFonts w:eastAsia="" w:cs="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uiPriority w:val="9"/>
    <w:semiHidden/>
    <w:qFormat/>
    <w:rsid w:val="00b42fdb"/>
    <w:rPr>
      <w:rFonts w:eastAsia="" w:cs="" w:cstheme="majorBidi" w:eastAsiaTheme="majorEastAsia"/>
      <w:color w:val="272727" w:themeColor="text1" w:themeTint="d8"/>
    </w:rPr>
  </w:style>
  <w:style w:type="character" w:styleId="NzevChar" w:customStyle="1">
    <w:name w:val="Název Char"/>
    <w:basedOn w:val="DefaultParagraphFont"/>
    <w:uiPriority w:val="10"/>
    <w:qFormat/>
    <w:rsid w:val="00b42fd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uiPriority w:val="11"/>
    <w:qFormat/>
    <w:rsid w:val="00b42fd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b42fd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42fdb"/>
    <w:rPr>
      <w:i/>
      <w:iCs/>
      <w:color w:val="2F5496" w:themeColor="accent1" w:themeShade="bf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b42f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fdb"/>
    <w:rPr>
      <w:b/>
      <w:bCs/>
      <w:smallCaps/>
      <w:color w:val="2F5496" w:themeColor="accent1" w:themeShade="bf"/>
      <w:spacing w:val="5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zev">
    <w:name w:val="Title"/>
    <w:basedOn w:val="Normal"/>
    <w:next w:val="Normal"/>
    <w:link w:val="NzevChar"/>
    <w:uiPriority w:val="10"/>
    <w:qFormat/>
    <w:rsid w:val="00b42fdb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itul">
    <w:name w:val="Subtitle"/>
    <w:basedOn w:val="Normal"/>
    <w:next w:val="Normal"/>
    <w:link w:val="PodnadpisChar"/>
    <w:uiPriority w:val="11"/>
    <w:qFormat/>
    <w:rsid w:val="00b42fd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b42fdb"/>
    <w:pPr>
      <w:spacing w:before="160" w:after="20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fdb"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b42fd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LibreOffice/7.4.7.2$Windows_X86_64 LibreOffice_project/723314e595e8007d3cf785c16538505a1c878ca5</Application>
  <AppVersion>15.0000</AppVersion>
  <Pages>7</Pages>
  <Words>1243</Words>
  <Characters>7521</Characters>
  <CharactersWithSpaces>8658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2026-06-28T11:48:00Z</dcterms:created>
  <dc:creator>Zababov</dc:creator>
  <dc:description/>
  <dc:language>cs-CZ</dc:language>
  <cp:lastModifiedBy/>
  <dcterms:modified xsi:type="dcterms:W3CDTF">2026-06-29T10:29:09Z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